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60B09" w:rsidR="00060B09" w:rsidP="3AB56BB6" w:rsidRDefault="00060B09" w14:paraId="70FEE865" w14:textId="0CD1D354">
      <w:pPr>
        <w:pStyle w:val="Prrafodelista"/>
        <w:suppressLineNumbers w:val="0"/>
        <w:bidi w:val="0"/>
        <w:spacing w:before="220" w:beforeAutospacing="off" w:after="220" w:afterAutospacing="off" w:line="259" w:lineRule="auto"/>
        <w:ind w:left="72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Pr="3AB56BB6" w:rsidR="66E9C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Lexus</w:t>
      </w:r>
      <w:r w:rsidRPr="3AB56BB6" w:rsidR="66E9CC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registró un “febrero verde”</w:t>
      </w:r>
      <w:r w:rsidRPr="3AB56BB6" w:rsidR="165D915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3AB56BB6" w:rsidR="05AE15E4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el 80% de sus ventas fueron vehículos híbridos</w:t>
      </w:r>
    </w:p>
    <w:p w:rsidR="3AB56BB6" w:rsidP="3AB56BB6" w:rsidRDefault="3AB56BB6" w14:paraId="00344BAC" w14:textId="20787C4C">
      <w:pPr>
        <w:pStyle w:val="Prrafodelista"/>
        <w:suppressLineNumbers w:val="0"/>
        <w:bidi w:val="0"/>
        <w:spacing w:before="220" w:beforeAutospacing="off" w:after="220" w:afterAutospacing="off" w:line="259" w:lineRule="auto"/>
        <w:ind w:left="72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w:rsidR="5FF49149" w:rsidP="3AB56BB6" w:rsidRDefault="5FF49149" w14:paraId="503E3B95" w14:textId="7C68BCC8">
      <w:pPr>
        <w:pStyle w:val="Prrafodelista"/>
        <w:numPr>
          <w:ilvl w:val="0"/>
          <w:numId w:val="1"/>
        </w:numPr>
        <w:suppressLineNumbers w:val="0"/>
        <w:bidi w:val="0"/>
        <w:spacing w:before="220" w:beforeAutospacing="off" w:after="220" w:afterAutospacing="off" w:line="259" w:lineRule="auto"/>
        <w:ind w:left="720" w:right="0" w:hanging="360"/>
        <w:jc w:val="left"/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</w:pPr>
      <w:r w:rsidRPr="3AB56BB6" w:rsidR="5FF49149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Durante el segundo mes del año, Lexus México </w:t>
      </w:r>
      <w:r w:rsidRPr="3AB56BB6" w:rsidR="4D276D8A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 xml:space="preserve">comercializó 192 unidades, lo que representa una ligera contracción frente a febrero 2024 </w:t>
      </w:r>
    </w:p>
    <w:p w:rsidRPr="00060B09" w:rsidR="0042711D" w:rsidP="3AB56BB6" w:rsidRDefault="0042711D" w14:paraId="0CF63615" w14:textId="4FDA9EAD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ES"/>
        </w:rPr>
      </w:pPr>
      <w:r w:rsidRPr="3AB56BB6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 xml:space="preserve">Ciudad de México, </w:t>
      </w:r>
      <w:r w:rsidRPr="3AB56BB6" w:rsidR="00E112F5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>6</w:t>
      </w:r>
      <w:r w:rsidRPr="3AB56BB6" w:rsidR="00F924C4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 xml:space="preserve"> </w:t>
      </w:r>
      <w:r w:rsidRPr="3AB56BB6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 xml:space="preserve">de </w:t>
      </w:r>
      <w:r w:rsidRPr="3AB56BB6" w:rsidR="1152F647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>marz</w:t>
      </w:r>
      <w:r w:rsidRPr="3AB56BB6" w:rsidR="00A613AD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 xml:space="preserve">o </w:t>
      </w:r>
      <w:r w:rsidRPr="3AB56BB6" w:rsidR="00060B09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-ES"/>
        </w:rPr>
        <w:t>de 2024.-</w:t>
      </w:r>
      <w:r w:rsidRPr="3AB56BB6" w:rsidR="00060B09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</w:t>
      </w:r>
      <w:r w:rsidRPr="3AB56BB6" w:rsidR="3C96B43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Lexus continúa afianzándose como la marca híbrida del mercado de lujo en México. </w:t>
      </w:r>
      <w:r w:rsidRPr="3AB56BB6" w:rsidR="3C96B43E">
        <w:rPr>
          <w:rFonts w:ascii="Arial" w:hAnsi="Arial" w:eastAsia="Arial" w:cs="Arial"/>
          <w:color w:val="000000" w:themeColor="text1" w:themeTint="FF" w:themeShade="FF"/>
          <w:lang w:val="es-ES"/>
        </w:rPr>
        <w:t>Durante el segundo mes de 2025, comercializó 192 unidades, de las cuales el 80% correspondieron a vehículos híbridos.</w:t>
      </w:r>
      <w:r w:rsidRPr="3AB56BB6" w:rsidR="3C96B43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</w:t>
      </w:r>
    </w:p>
    <w:p w:rsidRPr="00060B09" w:rsidR="0042711D" w:rsidP="3AB56BB6" w:rsidRDefault="0042711D" w14:paraId="101176D4" w14:textId="3F987447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</w:p>
    <w:p w:rsidRPr="00060B09" w:rsidR="0042711D" w:rsidP="3AB56BB6" w:rsidRDefault="0042711D" w14:paraId="06D3A68E" w14:textId="104FAC5C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  <w:r w:rsidRPr="3AB56BB6" w:rsidR="09017369">
        <w:rPr>
          <w:rFonts w:ascii="Arial" w:hAnsi="Arial" w:eastAsia="Arial" w:cs="Arial"/>
          <w:color w:val="000000" w:themeColor="text1" w:themeTint="FF" w:themeShade="FF"/>
          <w:lang w:val="es-MX"/>
        </w:rPr>
        <w:t>Esta proporción demuestra no sólo que la visión de Lexus</w:t>
      </w:r>
      <w:r w:rsidRPr="3AB56BB6" w:rsidR="58311BCB">
        <w:rPr>
          <w:rFonts w:ascii="Arial" w:hAnsi="Arial" w:eastAsia="Arial" w:cs="Arial"/>
          <w:color w:val="000000" w:themeColor="text1" w:themeTint="FF" w:themeShade="FF"/>
          <w:lang w:val="es-MX"/>
        </w:rPr>
        <w:t>,</w:t>
      </w:r>
      <w:r w:rsidRPr="3AB56BB6" w:rsidR="09017369">
        <w:rPr>
          <w:rFonts w:ascii="Arial" w:hAnsi="Arial" w:eastAsia="Arial" w:cs="Arial"/>
          <w:color w:val="000000" w:themeColor="text1" w:themeTint="FF" w:themeShade="FF"/>
          <w:lang w:val="es-MX"/>
        </w:rPr>
        <w:t xml:space="preserve"> de ofrecer la tecnología adecuada en el tiempo adecuad</w:t>
      </w:r>
      <w:r w:rsidRPr="3AB56BB6" w:rsidR="09017369">
        <w:rPr>
          <w:rFonts w:ascii="Arial" w:hAnsi="Arial" w:eastAsia="Arial" w:cs="Arial"/>
          <w:color w:val="000000" w:themeColor="text1" w:themeTint="FF" w:themeShade="FF"/>
          <w:lang w:val="es-MX"/>
        </w:rPr>
        <w:t>o</w:t>
      </w:r>
      <w:r w:rsidRPr="3AB56BB6" w:rsidR="66E31B4E">
        <w:rPr>
          <w:rFonts w:ascii="Arial" w:hAnsi="Arial" w:eastAsia="Arial" w:cs="Arial"/>
          <w:color w:val="000000" w:themeColor="text1" w:themeTint="FF" w:themeShade="FF"/>
          <w:lang w:val="es-MX"/>
        </w:rPr>
        <w:t>,</w:t>
      </w:r>
      <w:r w:rsidRPr="3AB56BB6" w:rsidR="09017369">
        <w:rPr>
          <w:rFonts w:ascii="Arial" w:hAnsi="Arial" w:eastAsia="Arial" w:cs="Arial"/>
          <w:color w:val="000000" w:themeColor="text1" w:themeTint="FF" w:themeShade="FF"/>
          <w:lang w:val="es-MX"/>
        </w:rPr>
        <w:t xml:space="preserve"> ha tenido una gran recepción en el mercado mexicano, sino también que los productos han conectado profundamente con el consumidor. </w:t>
      </w:r>
    </w:p>
    <w:p w:rsidRPr="00060B09" w:rsidR="0042711D" w:rsidP="3AB56BB6" w:rsidRDefault="0042711D" w14:paraId="21B66017" w14:textId="55866A2A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</w:p>
    <w:p w:rsidRPr="00060B09" w:rsidR="0042711D" w:rsidP="3AB56BB6" w:rsidRDefault="0042711D" w14:paraId="098A0C39" w14:textId="121A7988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  <w:r w:rsidRPr="3AB56BB6" w:rsidR="66DFD9F3">
        <w:rPr>
          <w:rFonts w:ascii="Arial" w:hAnsi="Arial" w:eastAsia="Arial" w:cs="Arial"/>
          <w:color w:val="000000" w:themeColor="text1" w:themeTint="FF" w:themeShade="FF"/>
          <w:lang w:val="es-MX"/>
        </w:rPr>
        <w:t>Las variantes híbridas de Lexus están pensadas para ofrecer una movilidad, inteligente y eficiente, con ahorros de combustible en los momentos de tránsito habitual</w:t>
      </w:r>
      <w:r w:rsidRPr="3AB56BB6" w:rsidR="0596CA04">
        <w:rPr>
          <w:rFonts w:ascii="Arial" w:hAnsi="Arial" w:eastAsia="Arial" w:cs="Arial"/>
          <w:color w:val="000000" w:themeColor="text1" w:themeTint="FF" w:themeShade="FF"/>
          <w:lang w:val="es-MX"/>
        </w:rPr>
        <w:t>. Esto se conjuga con</w:t>
      </w:r>
      <w:r w:rsidRPr="3AB56BB6" w:rsidR="66DFD9F3">
        <w:rPr>
          <w:rFonts w:ascii="Arial" w:hAnsi="Arial" w:eastAsia="Arial" w:cs="Arial"/>
          <w:color w:val="000000" w:themeColor="text1" w:themeTint="FF" w:themeShade="FF"/>
          <w:lang w:val="es-MX"/>
        </w:rPr>
        <w:t xml:space="preserve"> prestaciones </w:t>
      </w:r>
      <w:r w:rsidRPr="3AB56BB6" w:rsidR="5FFAAD8F">
        <w:rPr>
          <w:rFonts w:ascii="Arial" w:hAnsi="Arial" w:eastAsia="Arial" w:cs="Arial"/>
          <w:color w:val="000000" w:themeColor="text1" w:themeTint="FF" w:themeShade="FF"/>
          <w:lang w:val="es-MX"/>
        </w:rPr>
        <w:t>dinámicas sobresalientes, logrando un equilibrio entre lo mejor de dos mundos</w:t>
      </w:r>
      <w:r w:rsidRPr="3AB56BB6" w:rsidR="1286A7FE">
        <w:rPr>
          <w:rFonts w:ascii="Arial" w:hAnsi="Arial" w:eastAsia="Arial" w:cs="Arial"/>
          <w:color w:val="000000" w:themeColor="text1" w:themeTint="FF" w:themeShade="FF"/>
          <w:lang w:val="es-MX"/>
        </w:rPr>
        <w:t xml:space="preserve">. </w:t>
      </w:r>
    </w:p>
    <w:p w:rsidRPr="00060B09" w:rsidR="0042711D" w:rsidP="3AB56BB6" w:rsidRDefault="0042711D" w14:paraId="0D587746" w14:textId="54EACC3D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</w:p>
    <w:p w:rsidRPr="00060B09" w:rsidR="0042711D" w:rsidP="3AB56BB6" w:rsidRDefault="0042711D" w14:paraId="3077A12B" w14:textId="39619806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ES"/>
        </w:rPr>
      </w:pPr>
      <w:r w:rsidRPr="3AB56BB6" w:rsidR="1286A7F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Durante este segundo mes del año, los </w:t>
      </w:r>
      <w:r w:rsidRPr="3AB56BB6" w:rsidR="1286A7FE">
        <w:rPr>
          <w:rFonts w:ascii="Arial" w:hAnsi="Arial" w:eastAsia="Arial" w:cs="Arial"/>
          <w:color w:val="000000" w:themeColor="text1" w:themeTint="FF" w:themeShade="FF"/>
          <w:lang w:val="es-ES"/>
        </w:rPr>
        <w:t>bestsellers</w:t>
      </w:r>
      <w:r w:rsidRPr="3AB56BB6" w:rsidR="1286A7F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fueron 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NX350h, las variantes híbridas de</w:t>
      </w:r>
      <w:r w:rsidRPr="3AB56BB6" w:rsidR="7F52C3F8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l SUV deportivo 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RX</w:t>
      </w:r>
      <w:r w:rsidRPr="3AB56BB6" w:rsidR="330C0B7C">
        <w:rPr>
          <w:rFonts w:ascii="Arial" w:hAnsi="Arial" w:eastAsia="Arial" w:cs="Arial"/>
          <w:color w:val="000000" w:themeColor="text1" w:themeTint="FF" w:themeShade="FF"/>
          <w:lang w:val="es-ES"/>
        </w:rPr>
        <w:t>350h y RX500h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, UX300h y el familiar 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d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e tre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s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fiilas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TX500h. </w:t>
      </w:r>
    </w:p>
    <w:p w:rsidRPr="00060B09" w:rsidR="0042711D" w:rsidP="3AB56BB6" w:rsidRDefault="0042711D" w14:paraId="1FFB347B" w14:textId="45DD1823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</w:p>
    <w:p w:rsidRPr="00060B09" w:rsidR="0042711D" w:rsidP="3AB56BB6" w:rsidRDefault="0042711D" w14:paraId="6E7892AB" w14:textId="2ED091CC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ES"/>
        </w:rPr>
      </w:pP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F</w:t>
      </w:r>
      <w:r w:rsidRPr="3AB56BB6" w:rsidR="0D75E463">
        <w:rPr>
          <w:rFonts w:ascii="Arial" w:hAnsi="Arial" w:eastAsia="Arial" w:cs="Arial"/>
          <w:color w:val="000000" w:themeColor="text1" w:themeTint="FF" w:themeShade="FF"/>
          <w:lang w:val="es-ES"/>
        </w:rPr>
        <w:t>i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nalmente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, durante el mes de marzo </w:t>
      </w:r>
      <w:r w:rsidRPr="3AB56BB6" w:rsidR="7465399C">
        <w:rPr>
          <w:rFonts w:ascii="Arial" w:hAnsi="Arial" w:eastAsia="Arial" w:cs="Arial"/>
          <w:color w:val="000000" w:themeColor="text1" w:themeTint="FF" w:themeShade="FF"/>
          <w:lang w:val="es-ES"/>
        </w:rPr>
        <w:t>se dio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la bienvenida a la temporad</w:t>
      </w:r>
      <w:r w:rsidRPr="3AB56BB6" w:rsidR="36FE9C82">
        <w:rPr>
          <w:rFonts w:ascii="Arial" w:hAnsi="Arial" w:eastAsia="Arial" w:cs="Arial"/>
          <w:color w:val="000000" w:themeColor="text1" w:themeTint="FF" w:themeShade="FF"/>
          <w:lang w:val="es-ES"/>
        </w:rPr>
        <w:t>a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</w:t>
      </w:r>
      <w:r w:rsidRPr="3AB56BB6" w:rsidR="6EBC61EE">
        <w:rPr>
          <w:rFonts w:ascii="Arial" w:hAnsi="Arial" w:eastAsia="Arial" w:cs="Arial"/>
          <w:i w:val="1"/>
          <w:iCs w:val="1"/>
          <w:color w:val="000000" w:themeColor="text1" w:themeTint="FF" w:themeShade="FF"/>
          <w:lang w:val="es-ES"/>
        </w:rPr>
        <w:t>Invitation</w:t>
      </w:r>
      <w:r w:rsidRPr="3AB56BB6" w:rsidR="6EBC61EE">
        <w:rPr>
          <w:rFonts w:ascii="Arial" w:hAnsi="Arial" w:eastAsia="Arial" w:cs="Arial"/>
          <w:i w:val="1"/>
          <w:iCs w:val="1"/>
          <w:color w:val="000000" w:themeColor="text1" w:themeTint="FF" w:themeShade="FF"/>
          <w:lang w:val="es-ES"/>
        </w:rPr>
        <w:t xml:space="preserve"> </w:t>
      </w:r>
      <w:r w:rsidRPr="3AB56BB6" w:rsidR="6EBC61EE">
        <w:rPr>
          <w:rFonts w:ascii="Arial" w:hAnsi="Arial" w:eastAsia="Arial" w:cs="Arial"/>
          <w:i w:val="1"/>
          <w:iCs w:val="1"/>
          <w:color w:val="000000" w:themeColor="text1" w:themeTint="FF" w:themeShade="FF"/>
          <w:lang w:val="es-ES"/>
        </w:rPr>
        <w:t>to</w:t>
      </w:r>
      <w:r w:rsidRPr="3AB56BB6" w:rsidR="6EBC61EE">
        <w:rPr>
          <w:rFonts w:ascii="Arial" w:hAnsi="Arial" w:eastAsia="Arial" w:cs="Arial"/>
          <w:i w:val="1"/>
          <w:iCs w:val="1"/>
          <w:color w:val="000000" w:themeColor="text1" w:themeTint="FF" w:themeShade="FF"/>
          <w:lang w:val="es-ES"/>
        </w:rPr>
        <w:t xml:space="preserve"> Lexus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, que contempla promociones especiales </w:t>
      </w:r>
      <w:r w:rsidRPr="3AB56BB6" w:rsidR="09C14A74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como 24 meses sin </w:t>
      </w:r>
      <w:r w:rsidRPr="3AB56BB6" w:rsidR="2CEE5D7B">
        <w:rPr>
          <w:rFonts w:ascii="Arial" w:hAnsi="Arial" w:eastAsia="Arial" w:cs="Arial"/>
          <w:color w:val="000000" w:themeColor="text1" w:themeTint="FF" w:themeShade="FF"/>
          <w:lang w:val="es-ES"/>
        </w:rPr>
        <w:t>in</w:t>
      </w:r>
      <w:r w:rsidRPr="3AB56BB6" w:rsidR="7674B6F7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tereses </w:t>
      </w:r>
      <w:r w:rsidRPr="3AB56BB6" w:rsidR="09C14A74">
        <w:rPr>
          <w:rFonts w:ascii="Arial" w:hAnsi="Arial" w:eastAsia="Arial" w:cs="Arial"/>
          <w:color w:val="000000" w:themeColor="text1" w:themeTint="FF" w:themeShade="FF"/>
          <w:lang w:val="es-ES"/>
        </w:rPr>
        <w:t>en modelos como UX300h y NX</w:t>
      </w:r>
      <w:r w:rsidRPr="3AB56BB6" w:rsidR="09C14A74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250, 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>para</w:t>
      </w:r>
      <w:r w:rsidRPr="3AB56BB6" w:rsidR="6EBC61EE">
        <w:rPr>
          <w:rFonts w:ascii="Arial" w:hAnsi="Arial" w:eastAsia="Arial" w:cs="Arial"/>
          <w:color w:val="000000" w:themeColor="text1" w:themeTint="FF" w:themeShade="FF"/>
          <w:lang w:val="es-ES"/>
        </w:rPr>
        <w:t xml:space="preserve"> aquellas personas que buscan sumarse a la familia de invitados de Lexus en México. </w:t>
      </w:r>
    </w:p>
    <w:p w:rsidRPr="00060B09" w:rsidR="0042711D" w:rsidP="3AB56BB6" w:rsidRDefault="0042711D" w14:paraId="25462178" w14:textId="541FAAA5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  <w:lang w:val="es-MX"/>
        </w:rPr>
      </w:pPr>
    </w:p>
    <w:p w:rsidRPr="00060B09" w:rsidR="0042711D" w:rsidP="3AB56BB6" w:rsidRDefault="0042711D" w14:paraId="485CBA22" w14:textId="54452A67">
      <w:pPr>
        <w:pStyle w:val="Normal"/>
        <w:spacing w:after="0"/>
        <w:jc w:val="both"/>
        <w:rPr>
          <w:rFonts w:ascii="Arial" w:hAnsi="Arial" w:eastAsia="Arial" w:cs="Arial"/>
          <w:color w:val="000000" w:themeColor="text1"/>
          <w:lang w:val="es-MX"/>
        </w:rPr>
      </w:pP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5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B689B75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6">
        <w:r w:rsidRPr="001B28B2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944E52"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  <w:rPr>
          <w:lang w:val="en-US"/>
        </w:rPr>
      </w:pPr>
      <w:r w:rsidRPr="00944E5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55 8109 0216 </w:t>
      </w:r>
    </w:p>
    <w:p w:rsidRPr="00944E52" w:rsidR="0042711D" w:rsidP="0414D997" w:rsidRDefault="0B689B75" w14:paraId="53DE9F2E" w14:textId="18C2A57B">
      <w:pPr>
        <w:shd w:val="clear" w:color="auto" w:fill="FFFFFF" w:themeFill="background1"/>
        <w:spacing w:after="0"/>
        <w:jc w:val="both"/>
        <w:rPr>
          <w:lang w:val="en-US"/>
        </w:rPr>
      </w:pPr>
      <w:r w:rsidRPr="00944E5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 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7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0414D997" w:rsidRDefault="0B689B75" w14:paraId="4E2E480C" w14:textId="6A9E547B">
      <w:pPr>
        <w:shd w:val="clear" w:color="auto" w:fill="FFFFFF" w:themeFill="background1"/>
        <w:spacing w:after="0"/>
      </w:pPr>
      <w:r w:rsidRPr="0414D997">
        <w:rPr>
          <w:rFonts w:ascii="Calibri" w:hAnsi="Calibri" w:eastAsia="Calibri" w:cs="Calibri"/>
          <w:color w:val="000000" w:themeColor="text1"/>
        </w:rPr>
        <w:t xml:space="preserve"> </w:t>
      </w:r>
    </w:p>
    <w:p w:rsidR="0042711D" w:rsidRDefault="0042711D" w14:paraId="7389F97D" w14:textId="67FD9818"/>
    <w:p w:rsidR="0042711D" w:rsidRDefault="0042711D" w14:paraId="11F32AEE" w14:textId="13918DCE"/>
    <w:p w:rsidR="0042711D" w:rsidRDefault="0042711D" w14:paraId="55C0C8D8" w14:textId="2EE3D3AF"/>
    <w:p w:rsidR="0042711D" w:rsidRDefault="0042711D" w14:paraId="70DFF938" w14:textId="48732EEE"/>
    <w:p w:rsidR="0042711D" w:rsidRDefault="0042711D" w14:paraId="182670BB" w14:textId="1C1A1E1E"/>
    <w:p w:rsidR="0042711D" w:rsidP="0414D997" w:rsidRDefault="0042711D" w14:paraId="5C1A07E2" w14:textId="735EC087"/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0B09"/>
    <w:rsid w:val="00061054"/>
    <w:rsid w:val="001460C4"/>
    <w:rsid w:val="001B28B2"/>
    <w:rsid w:val="002C0AA4"/>
    <w:rsid w:val="00352B23"/>
    <w:rsid w:val="00384785"/>
    <w:rsid w:val="003D224D"/>
    <w:rsid w:val="0042711D"/>
    <w:rsid w:val="00471E22"/>
    <w:rsid w:val="005637ED"/>
    <w:rsid w:val="00586CA6"/>
    <w:rsid w:val="00686DCE"/>
    <w:rsid w:val="006B2B76"/>
    <w:rsid w:val="0070544C"/>
    <w:rsid w:val="00735CB4"/>
    <w:rsid w:val="00944E52"/>
    <w:rsid w:val="00976161"/>
    <w:rsid w:val="009B75E3"/>
    <w:rsid w:val="009F005B"/>
    <w:rsid w:val="00A4156E"/>
    <w:rsid w:val="00A52468"/>
    <w:rsid w:val="00A541B6"/>
    <w:rsid w:val="00A613AD"/>
    <w:rsid w:val="00A86588"/>
    <w:rsid w:val="00AB67DE"/>
    <w:rsid w:val="00B831F6"/>
    <w:rsid w:val="00C1768C"/>
    <w:rsid w:val="00C60BAD"/>
    <w:rsid w:val="00C975E5"/>
    <w:rsid w:val="00CA70CC"/>
    <w:rsid w:val="00D4725C"/>
    <w:rsid w:val="00D625A7"/>
    <w:rsid w:val="00DC2593"/>
    <w:rsid w:val="00E112F5"/>
    <w:rsid w:val="00E16D1D"/>
    <w:rsid w:val="00F26CB7"/>
    <w:rsid w:val="00F924C4"/>
    <w:rsid w:val="01C7FAE4"/>
    <w:rsid w:val="034D01AF"/>
    <w:rsid w:val="0414D997"/>
    <w:rsid w:val="0596CA04"/>
    <w:rsid w:val="05AE15E4"/>
    <w:rsid w:val="069C690D"/>
    <w:rsid w:val="06CB692A"/>
    <w:rsid w:val="07835681"/>
    <w:rsid w:val="08166FA2"/>
    <w:rsid w:val="0865A663"/>
    <w:rsid w:val="09017369"/>
    <w:rsid w:val="09C14A74"/>
    <w:rsid w:val="0B689B75"/>
    <w:rsid w:val="0D75E463"/>
    <w:rsid w:val="0F6B0032"/>
    <w:rsid w:val="10524849"/>
    <w:rsid w:val="1152F647"/>
    <w:rsid w:val="1175407A"/>
    <w:rsid w:val="1252D3D4"/>
    <w:rsid w:val="1286A7FE"/>
    <w:rsid w:val="12ADB19E"/>
    <w:rsid w:val="139FA003"/>
    <w:rsid w:val="165D915B"/>
    <w:rsid w:val="17AA1908"/>
    <w:rsid w:val="187ABF4E"/>
    <w:rsid w:val="1B9836CE"/>
    <w:rsid w:val="1DB1933C"/>
    <w:rsid w:val="1E052331"/>
    <w:rsid w:val="1EB8D863"/>
    <w:rsid w:val="21D965B1"/>
    <w:rsid w:val="23529BBB"/>
    <w:rsid w:val="23A20D7A"/>
    <w:rsid w:val="240AE40D"/>
    <w:rsid w:val="24AA0D0A"/>
    <w:rsid w:val="25CA0D4D"/>
    <w:rsid w:val="25DCCB07"/>
    <w:rsid w:val="25FD1054"/>
    <w:rsid w:val="269CAF3E"/>
    <w:rsid w:val="293C6501"/>
    <w:rsid w:val="2CEE5D7B"/>
    <w:rsid w:val="2DBB8E1B"/>
    <w:rsid w:val="2E184A1C"/>
    <w:rsid w:val="2E6D7A41"/>
    <w:rsid w:val="2F8C96B4"/>
    <w:rsid w:val="30402004"/>
    <w:rsid w:val="317633A5"/>
    <w:rsid w:val="330C0B7C"/>
    <w:rsid w:val="34EEEA4F"/>
    <w:rsid w:val="36AF2C87"/>
    <w:rsid w:val="36FE9C82"/>
    <w:rsid w:val="39F6B820"/>
    <w:rsid w:val="3A36D7A1"/>
    <w:rsid w:val="3A4B6807"/>
    <w:rsid w:val="3AB56BB6"/>
    <w:rsid w:val="3C20A882"/>
    <w:rsid w:val="3C96B43E"/>
    <w:rsid w:val="3CEF966E"/>
    <w:rsid w:val="3CFB70F9"/>
    <w:rsid w:val="3D28C0F8"/>
    <w:rsid w:val="406E6F0D"/>
    <w:rsid w:val="40E183C5"/>
    <w:rsid w:val="434E8EFA"/>
    <w:rsid w:val="43A159BD"/>
    <w:rsid w:val="43E5B934"/>
    <w:rsid w:val="44BC829E"/>
    <w:rsid w:val="45445913"/>
    <w:rsid w:val="47F8FABC"/>
    <w:rsid w:val="4B34DC2A"/>
    <w:rsid w:val="4BA14EC3"/>
    <w:rsid w:val="4C728A49"/>
    <w:rsid w:val="4D276D8A"/>
    <w:rsid w:val="4EC8C22D"/>
    <w:rsid w:val="4FFDA489"/>
    <w:rsid w:val="50ECECD5"/>
    <w:rsid w:val="5159B346"/>
    <w:rsid w:val="516A77E1"/>
    <w:rsid w:val="53FCA758"/>
    <w:rsid w:val="5551809E"/>
    <w:rsid w:val="58311BCB"/>
    <w:rsid w:val="58456F43"/>
    <w:rsid w:val="591E75EE"/>
    <w:rsid w:val="5929B27F"/>
    <w:rsid w:val="592EE200"/>
    <w:rsid w:val="5A6FC0CE"/>
    <w:rsid w:val="5B530CA8"/>
    <w:rsid w:val="5B6E888B"/>
    <w:rsid w:val="5DC18A19"/>
    <w:rsid w:val="5E38FA63"/>
    <w:rsid w:val="5F2CCD66"/>
    <w:rsid w:val="5FF49149"/>
    <w:rsid w:val="5FFAAD8F"/>
    <w:rsid w:val="60287E82"/>
    <w:rsid w:val="6216AB95"/>
    <w:rsid w:val="635E87BA"/>
    <w:rsid w:val="658CA3AA"/>
    <w:rsid w:val="66406617"/>
    <w:rsid w:val="66806893"/>
    <w:rsid w:val="66BB08F8"/>
    <w:rsid w:val="66CBA57B"/>
    <w:rsid w:val="66DFD9F3"/>
    <w:rsid w:val="66E31B4E"/>
    <w:rsid w:val="66E9CC5A"/>
    <w:rsid w:val="676018A5"/>
    <w:rsid w:val="6846ABB4"/>
    <w:rsid w:val="6AC7ADCE"/>
    <w:rsid w:val="6B05B7A3"/>
    <w:rsid w:val="6B63CA68"/>
    <w:rsid w:val="6D79849A"/>
    <w:rsid w:val="6D969C87"/>
    <w:rsid w:val="6EBC61EE"/>
    <w:rsid w:val="7195DD61"/>
    <w:rsid w:val="71FB47A8"/>
    <w:rsid w:val="7221E372"/>
    <w:rsid w:val="72E70476"/>
    <w:rsid w:val="73223FFD"/>
    <w:rsid w:val="7465399C"/>
    <w:rsid w:val="7674B6F7"/>
    <w:rsid w:val="76CC6402"/>
    <w:rsid w:val="77AE1E5C"/>
    <w:rsid w:val="7B8E7EE8"/>
    <w:rsid w:val="7C6DB125"/>
    <w:rsid w:val="7D1BC590"/>
    <w:rsid w:val="7E0C89B0"/>
    <w:rsid w:val="7ECAAE39"/>
    <w:rsid w:val="7F48618B"/>
    <w:rsid w:val="7F52C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lexus.mx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rnesto.roy@qprw.co" TargetMode="External" Id="rId6" /><Relationship Type="http://schemas.openxmlformats.org/officeDocument/2006/relationships/hyperlink" Target="https://www.lexus.mx/" TargetMode="External" Id="rId5" /><Relationship Type="http://schemas.microsoft.com/office/2019/05/relationships/documenttasks" Target="documenttasks/documenttasks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Miguel Ángel Teposteco Rodríguez</lastModifiedBy>
  <revision>4</revision>
  <dcterms:created xsi:type="dcterms:W3CDTF">2025-01-03T22:05:00.0000000Z</dcterms:created>
  <dcterms:modified xsi:type="dcterms:W3CDTF">2025-03-06T17:11:40.9873671Z</dcterms:modified>
</coreProperties>
</file>